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2C377F" w:rsidRPr="00AB5691" w14:paraId="13CA2373" w14:textId="77777777" w:rsidTr="002C377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14:paraId="6B3C00F1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14:paraId="77FD1D00" w14:textId="4DE6BADB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6A1B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AKTA</w:t>
            </w:r>
          </w:p>
          <w:p w14:paraId="444E88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C377F" w:rsidRPr="00AB5691" w14:paraId="44A6C730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BEC01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DC90AB" w14:textId="07D9FB0B" w:rsidR="002C377F" w:rsidRPr="004D021D" w:rsidRDefault="00FC1E44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Prijedlog </w:t>
            </w:r>
            <w:r w:rsidR="00CC106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Odluke o izmjenama i dopunama Odluke o lokalnim porezima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Općine Šodolovci</w:t>
            </w:r>
          </w:p>
        </w:tc>
      </w:tr>
      <w:tr w:rsidR="002C377F" w:rsidRPr="00AB5691" w14:paraId="7EF1C5E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3458D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406F11" w14:textId="77777777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2C377F" w:rsidRPr="00AB5691" w14:paraId="6D40648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4209F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D4C2550" w14:textId="28522A81" w:rsidR="002C377F" w:rsidRPr="004D021D" w:rsidRDefault="00CC106A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Stupanje</w:t>
            </w:r>
            <w:r w:rsidR="00490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na snagu Zakona o izmjenama i dopunama Zakona o lokalnim porezima („Narodne novine“ broj 152/24, u daljnjem tekstu: Zakon) dana 01.01.2025. došlo je do potrebe donošenja izmjena i dopuna Odluke o lokalnim porezima</w:t>
            </w:r>
            <w:r w:rsidR="00490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Općine Šodolovci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kako bi se ista uskladila  sa zakonskim odredbama. Zakonom je propisano da su jedinice lokalne samouprave dužne uvesti porez na nekretnine</w:t>
            </w:r>
            <w:r w:rsidR="00490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(ukida se porez na kuće za odmor)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te da se on plaća godišnje. Jedinice lokalne samouprave ovlaštene su propisati visinu poreza u rasponu od 0,60 do 8,00 eura/m² </w:t>
            </w:r>
            <w:r w:rsidR="0029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korisne površine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nekretnine.</w:t>
            </w:r>
            <w:r w:rsidR="0029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Prihod od poreza na nekretnine zajednički je prihod jedinice lokalne samouprave (80 %) i jedinice regionalne samouprave (20 %). Ukoliko predstavničko tijelo ne propiše svojom odlukom visinu poreza na nekretnine, porez se određuje u iznosu od 0,60 m² korisne površine nekretnine. Ovim Prijedlogom Odluke o izmjenama i dopunama Odluke o lokalnim porezima Općine Šodolovci predloženo je da se visina poreza na nekretnine odredi u iznosu od 1,00 eura /m² korisne površine nekretnine.</w:t>
            </w:r>
          </w:p>
        </w:tc>
      </w:tr>
      <w:tr w:rsidR="002C377F" w:rsidRPr="00AB5691" w14:paraId="5DC5680A" w14:textId="77777777" w:rsidTr="002C377F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A5D494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47D06E6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229125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CB10C5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4F3327B1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869314" w14:textId="405B14C6" w:rsidR="002C377F" w:rsidRPr="00AB5691" w:rsidRDefault="004D174A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Pr="00BA555E">
                <w:rPr>
                  <w:rStyle w:val="Hiperveza"/>
                  <w:rFonts w:ascii="Times New Roman" w:eastAsia="SimSun" w:hAnsi="Times New Roman" w:cs="Times New Roman"/>
                  <w:bCs/>
                  <w:sz w:val="20"/>
                  <w:szCs w:val="20"/>
                  <w:lang w:eastAsia="zh-CN"/>
                </w:rPr>
                <w:t>https://www.sodolovci.hr/savjetovanje-sa-zainteresiranom-javnoscu/</w:t>
              </w:r>
            </w:hyperlink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C377F" w:rsidRPr="00AB5691" w14:paraId="3D40905A" w14:textId="77777777" w:rsidTr="002C377F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935388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C748CD" w14:textId="5D3986FE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Savjetovanje s javnošću bilo je otvoreno od </w:t>
            </w:r>
            <w:r w:rsidR="004909A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15.01.2025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do </w:t>
            </w:r>
            <w:r w:rsidR="004909A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13.02.2025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godine</w:t>
            </w:r>
          </w:p>
        </w:tc>
      </w:tr>
      <w:tr w:rsidR="002C377F" w:rsidRPr="00AB5691" w14:paraId="32FFEDB1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EEA92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DC42EB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2C377F" w:rsidRPr="00AB5691" w14:paraId="2614B867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4E5B3F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0F3F5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FFE33C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2C377F" w:rsidRPr="00AB5691" w14:paraId="47469F22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F304DD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0E43A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2C377F" w:rsidRPr="00AB5691" w14:paraId="3F552991" w14:textId="77777777" w:rsidTr="002C377F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7B53B50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14:paraId="55552ABB" w14:textId="514E596F" w:rsidR="002C377F" w:rsidRPr="00AB5691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0,00 </w:t>
            </w:r>
            <w:r w:rsidR="00FC1E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eura</w:t>
            </w:r>
          </w:p>
        </w:tc>
      </w:tr>
      <w:tr w:rsidR="002C377F" w:rsidRPr="00AB5691" w14:paraId="46F043F7" w14:textId="77777777" w:rsidTr="002C377F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14:paraId="41286D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</w:tc>
      </w:tr>
    </w:tbl>
    <w:p w14:paraId="65BCA1D4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Toc468978618"/>
    </w:p>
    <w:p w14:paraId="10992812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717254" w:rsidRPr="00AB5691" w14:paraId="0C6609E3" w14:textId="77777777" w:rsidTr="00071802">
        <w:tc>
          <w:tcPr>
            <w:tcW w:w="773" w:type="dxa"/>
            <w:vAlign w:val="center"/>
          </w:tcPr>
          <w:p w14:paraId="5EA2FD26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2DD68701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A05EFEE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70D24AA2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4E862C80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717254" w:rsidRPr="00AB5691" w14:paraId="6E82B02B" w14:textId="77777777" w:rsidTr="00071802">
        <w:trPr>
          <w:trHeight w:val="567"/>
        </w:trPr>
        <w:tc>
          <w:tcPr>
            <w:tcW w:w="773" w:type="dxa"/>
          </w:tcPr>
          <w:p w14:paraId="419605B5" w14:textId="6BDC9505" w:rsidR="004D174A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87" w:type="dxa"/>
          </w:tcPr>
          <w:p w14:paraId="3365CC18" w14:textId="109092B4"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1984" w:type="dxa"/>
          </w:tcPr>
          <w:p w14:paraId="6353784D" w14:textId="72F795C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046" w:type="dxa"/>
          </w:tcPr>
          <w:p w14:paraId="143B1C09" w14:textId="1F3ACB11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632" w:type="dxa"/>
          </w:tcPr>
          <w:p w14:paraId="3AAF34A0" w14:textId="2D8D0CB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</w:tr>
    </w:tbl>
    <w:p w14:paraId="26AD5DDB" w14:textId="75AEEB71" w:rsidR="009C5FB4" w:rsidRDefault="009C5FB4"/>
    <w:p w14:paraId="528B51A0" w14:textId="0576C2D1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KLASA: 013-02/2</w:t>
      </w:r>
      <w:r w:rsidR="00CC106A">
        <w:rPr>
          <w:rFonts w:ascii="Times New Roman" w:hAnsi="Times New Roman" w:cs="Times New Roman"/>
          <w:sz w:val="24"/>
          <w:szCs w:val="24"/>
        </w:rPr>
        <w:t>5</w:t>
      </w:r>
      <w:r w:rsidRPr="004868F0">
        <w:rPr>
          <w:rFonts w:ascii="Times New Roman" w:hAnsi="Times New Roman" w:cs="Times New Roman"/>
          <w:sz w:val="24"/>
          <w:szCs w:val="24"/>
        </w:rPr>
        <w:t>-02/</w:t>
      </w:r>
      <w:r w:rsidR="00FC1E44">
        <w:rPr>
          <w:rFonts w:ascii="Times New Roman" w:hAnsi="Times New Roman" w:cs="Times New Roman"/>
          <w:sz w:val="24"/>
          <w:szCs w:val="24"/>
        </w:rPr>
        <w:t>1</w:t>
      </w:r>
    </w:p>
    <w:p w14:paraId="3D9B43B5" w14:textId="3A6FABA6" w:rsid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lastRenderedPageBreak/>
        <w:t>URBROJ: 2158-36-03-2</w:t>
      </w:r>
      <w:r w:rsidR="00CC106A">
        <w:rPr>
          <w:rFonts w:ascii="Times New Roman" w:hAnsi="Times New Roman" w:cs="Times New Roman"/>
          <w:sz w:val="24"/>
          <w:szCs w:val="24"/>
        </w:rPr>
        <w:t>5</w:t>
      </w:r>
      <w:r w:rsidRPr="004868F0">
        <w:rPr>
          <w:rFonts w:ascii="Times New Roman" w:hAnsi="Times New Roman" w:cs="Times New Roman"/>
          <w:sz w:val="24"/>
          <w:szCs w:val="24"/>
        </w:rPr>
        <w:t>-2</w:t>
      </w:r>
    </w:p>
    <w:p w14:paraId="2960F096" w14:textId="2993DD64" w:rsidR="004868F0" w:rsidRDefault="0048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FC1E44">
        <w:rPr>
          <w:rFonts w:ascii="Times New Roman" w:hAnsi="Times New Roman" w:cs="Times New Roman"/>
          <w:sz w:val="24"/>
          <w:szCs w:val="24"/>
        </w:rPr>
        <w:t>1</w:t>
      </w:r>
      <w:r w:rsidR="00CC10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F41">
        <w:rPr>
          <w:rFonts w:ascii="Times New Roman" w:hAnsi="Times New Roman" w:cs="Times New Roman"/>
          <w:sz w:val="24"/>
          <w:szCs w:val="24"/>
        </w:rPr>
        <w:t xml:space="preserve"> </w:t>
      </w:r>
      <w:r w:rsidR="00CC106A">
        <w:rPr>
          <w:rFonts w:ascii="Times New Roman" w:hAnsi="Times New Roman" w:cs="Times New Roman"/>
          <w:sz w:val="24"/>
          <w:szCs w:val="24"/>
        </w:rPr>
        <w:t>veljače</w:t>
      </w:r>
      <w:r w:rsidR="00446F41">
        <w:rPr>
          <w:rFonts w:ascii="Times New Roman" w:hAnsi="Times New Roman" w:cs="Times New Roman"/>
          <w:sz w:val="24"/>
          <w:szCs w:val="24"/>
        </w:rPr>
        <w:t xml:space="preserve"> 202</w:t>
      </w:r>
      <w:r w:rsidR="00CC106A">
        <w:rPr>
          <w:rFonts w:ascii="Times New Roman" w:hAnsi="Times New Roman" w:cs="Times New Roman"/>
          <w:sz w:val="24"/>
          <w:szCs w:val="24"/>
        </w:rPr>
        <w:t>5</w:t>
      </w:r>
      <w:r w:rsidR="00446F41">
        <w:rPr>
          <w:rFonts w:ascii="Times New Roman" w:hAnsi="Times New Roman" w:cs="Times New Roman"/>
          <w:sz w:val="24"/>
          <w:szCs w:val="24"/>
        </w:rPr>
        <w:t>.</w:t>
      </w:r>
    </w:p>
    <w:p w14:paraId="7F632731" w14:textId="2DD189CD" w:rsidR="00DD5A6F" w:rsidRDefault="00DD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PROČELNICA:</w:t>
      </w:r>
    </w:p>
    <w:p w14:paraId="0EF8CB27" w14:textId="28FA8759" w:rsidR="00DD5A6F" w:rsidRDefault="00DD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Jovana Avrić, mag. iur.</w:t>
      </w:r>
    </w:p>
    <w:p w14:paraId="56ACDEA8" w14:textId="77777777" w:rsidR="00DD5A6F" w:rsidRPr="004868F0" w:rsidRDefault="00DD5A6F">
      <w:pPr>
        <w:rPr>
          <w:rFonts w:ascii="Times New Roman" w:hAnsi="Times New Roman" w:cs="Times New Roman"/>
          <w:sz w:val="24"/>
          <w:szCs w:val="24"/>
        </w:rPr>
      </w:pPr>
    </w:p>
    <w:sectPr w:rsidR="00DD5A6F" w:rsidRPr="004868F0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4"/>
    <w:rsid w:val="001A185F"/>
    <w:rsid w:val="00294606"/>
    <w:rsid w:val="002C377F"/>
    <w:rsid w:val="00446F41"/>
    <w:rsid w:val="004868F0"/>
    <w:rsid w:val="004909A4"/>
    <w:rsid w:val="004D021D"/>
    <w:rsid w:val="004D174A"/>
    <w:rsid w:val="004F77EF"/>
    <w:rsid w:val="006A1B30"/>
    <w:rsid w:val="00701E06"/>
    <w:rsid w:val="00717254"/>
    <w:rsid w:val="009C5FB4"/>
    <w:rsid w:val="00CB458E"/>
    <w:rsid w:val="00CC106A"/>
    <w:rsid w:val="00DD5A6F"/>
    <w:rsid w:val="00EA1F0C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613"/>
  <w15:chartTrackingRefBased/>
  <w15:docId w15:val="{71EA188A-465E-486C-9073-8FB0C011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02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13</cp:revision>
  <cp:lastPrinted>2023-09-08T08:31:00Z</cp:lastPrinted>
  <dcterms:created xsi:type="dcterms:W3CDTF">2019-10-22T12:26:00Z</dcterms:created>
  <dcterms:modified xsi:type="dcterms:W3CDTF">2025-02-19T15:15:00Z</dcterms:modified>
</cp:coreProperties>
</file>